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F94CA" w14:textId="2689BFEE" w:rsidR="00F15DA8" w:rsidRDefault="00F15DA8" w:rsidP="00F15DA8">
      <w:r>
        <w:t>Réponses au quizz de l’été 2020</w:t>
      </w:r>
    </w:p>
    <w:p w14:paraId="344BB777" w14:textId="77777777" w:rsidR="00F15DA8" w:rsidRDefault="00F15DA8" w:rsidP="00F15DA8"/>
    <w:p w14:paraId="57CA1EE7" w14:textId="3C208B59" w:rsidR="00F15DA8" w:rsidRDefault="00F15DA8" w:rsidP="00F15DA8">
      <w:pPr>
        <w:pStyle w:val="Paragraphedeliste"/>
        <w:numPr>
          <w:ilvl w:val="0"/>
          <w:numId w:val="1"/>
        </w:numPr>
      </w:pPr>
      <w:r>
        <w:t xml:space="preserve">Une </w:t>
      </w:r>
      <w:r w:rsidR="00354BBB">
        <w:t>étude</w:t>
      </w:r>
      <w:r>
        <w:t xml:space="preserve"> de 2019 de Fed finance montre que la majorité des collaborateurs de cabinets comptables à la recherche d’un nouveau poste ont le choix entre 2 et 5 propositions (lire </w:t>
      </w:r>
      <w:hyperlink r:id="rId5" w:history="1">
        <w:r>
          <w:rPr>
            <w:rStyle w:val="Lienhypertexte"/>
          </w:rPr>
          <w:t xml:space="preserve">notre </w:t>
        </w:r>
        <w:r w:rsidRPr="00581E31">
          <w:rPr>
            <w:rStyle w:val="Lienhypertexte"/>
          </w:rPr>
          <w:t>article</w:t>
        </w:r>
      </w:hyperlink>
      <w:r>
        <w:t>).</w:t>
      </w:r>
    </w:p>
    <w:p w14:paraId="0010797C" w14:textId="77777777" w:rsidR="00F15DA8" w:rsidRDefault="00F15DA8" w:rsidP="00F15DA8">
      <w:pPr>
        <w:pStyle w:val="Paragraphedeliste"/>
      </w:pPr>
    </w:p>
    <w:p w14:paraId="13113D4D" w14:textId="77777777" w:rsidR="00F15DA8" w:rsidRDefault="00F15DA8" w:rsidP="00F15DA8">
      <w:pPr>
        <w:pStyle w:val="Paragraphedeliste"/>
        <w:numPr>
          <w:ilvl w:val="0"/>
          <w:numId w:val="1"/>
        </w:numPr>
      </w:pPr>
      <w:r>
        <w:t xml:space="preserve">Le montant forfaitaire de l’avantage en nature nourriture au titre des revenus imposables en 2020 s’élève en principe à 4,90 euros par repas. Il s’élève à </w:t>
      </w:r>
      <w:r w:rsidRPr="00581E31">
        <w:t>3,65 € pour les salariés et dirigeants des hôtels, cafés, restaurants et assimilés</w:t>
      </w:r>
      <w:r>
        <w:t xml:space="preserve"> (lire </w:t>
      </w:r>
      <w:hyperlink r:id="rId6" w:history="1">
        <w:r w:rsidRPr="00581E31">
          <w:rPr>
            <w:rStyle w:val="Lienhypertexte"/>
          </w:rPr>
          <w:t>notre article</w:t>
        </w:r>
      </w:hyperlink>
      <w:r>
        <w:t>).</w:t>
      </w:r>
    </w:p>
    <w:p w14:paraId="17696FBE" w14:textId="77777777" w:rsidR="00F15DA8" w:rsidRDefault="00F15DA8" w:rsidP="00F15DA8">
      <w:pPr>
        <w:pStyle w:val="Paragraphedeliste"/>
      </w:pPr>
    </w:p>
    <w:p w14:paraId="42F09912" w14:textId="77777777" w:rsidR="00F15DA8" w:rsidRDefault="00F15DA8" w:rsidP="00F15DA8">
      <w:pPr>
        <w:pStyle w:val="Paragraphedeliste"/>
        <w:numPr>
          <w:ilvl w:val="0"/>
          <w:numId w:val="1"/>
        </w:numPr>
      </w:pPr>
      <w:r>
        <w:t xml:space="preserve">Selon une étude réalisée pour l’Omeca, les femmes représentent 72 % de l’effectif total des cabinets comptables de 1 à 9 salariés. Cette proportion est identique pour les structures de 10 à 49 salariés (lire </w:t>
      </w:r>
      <w:hyperlink r:id="rId7" w:history="1">
        <w:r w:rsidRPr="008321A5">
          <w:rPr>
            <w:rStyle w:val="Lienhypertexte"/>
          </w:rPr>
          <w:t>notre article</w:t>
        </w:r>
      </w:hyperlink>
      <w:r>
        <w:t xml:space="preserve">). </w:t>
      </w:r>
    </w:p>
    <w:p w14:paraId="232D0F0B" w14:textId="77777777" w:rsidR="00F15DA8" w:rsidRDefault="00F15DA8" w:rsidP="00F15DA8">
      <w:pPr>
        <w:pStyle w:val="Paragraphedeliste"/>
      </w:pPr>
    </w:p>
    <w:p w14:paraId="12A6CF8C" w14:textId="77777777" w:rsidR="00F15DA8" w:rsidRDefault="00F15DA8" w:rsidP="00F15DA8">
      <w:pPr>
        <w:pStyle w:val="Paragraphedeliste"/>
        <w:numPr>
          <w:ilvl w:val="0"/>
          <w:numId w:val="1"/>
        </w:numPr>
      </w:pPr>
      <w:r>
        <w:t>Le cabinet GVA s’est rapproché de Sémaphores en début d’année (</w:t>
      </w:r>
      <w:hyperlink r:id="rId8" w:history="1">
        <w:r w:rsidRPr="008321A5">
          <w:rPr>
            <w:rStyle w:val="Lienhypertexte"/>
          </w:rPr>
          <w:t>lire notre article</w:t>
        </w:r>
      </w:hyperlink>
      <w:r>
        <w:t>).</w:t>
      </w:r>
    </w:p>
    <w:p w14:paraId="2474EA54" w14:textId="77777777" w:rsidR="00F15DA8" w:rsidRDefault="00F15DA8" w:rsidP="00F15DA8">
      <w:pPr>
        <w:pStyle w:val="Paragraphedeliste"/>
      </w:pPr>
    </w:p>
    <w:p w14:paraId="344E6265" w14:textId="77777777" w:rsidR="00F15DA8" w:rsidRDefault="00F15DA8" w:rsidP="00F15DA8">
      <w:pPr>
        <w:pStyle w:val="Paragraphedeliste"/>
        <w:numPr>
          <w:ilvl w:val="0"/>
          <w:numId w:val="1"/>
        </w:numPr>
      </w:pPr>
      <w:r>
        <w:t>La loi de finances pour 2020 prévoit de rendre obligatoire la facturation électronique entre assujettis à la TVA au plus tôt le 1</w:t>
      </w:r>
      <w:r w:rsidRPr="006E419A">
        <w:rPr>
          <w:vertAlign w:val="superscript"/>
        </w:rPr>
        <w:t>er</w:t>
      </w:r>
      <w:r>
        <w:t xml:space="preserve"> janvier 2023 et au plus tard le 1</w:t>
      </w:r>
      <w:r w:rsidRPr="006E419A">
        <w:rPr>
          <w:vertAlign w:val="superscript"/>
        </w:rPr>
        <w:t>er</w:t>
      </w:r>
      <w:r>
        <w:t xml:space="preserve"> janvier 2025 (lire </w:t>
      </w:r>
      <w:hyperlink r:id="rId9" w:history="1">
        <w:r w:rsidRPr="006E419A">
          <w:rPr>
            <w:rStyle w:val="Lienhypertexte"/>
          </w:rPr>
          <w:t>notre article</w:t>
        </w:r>
      </w:hyperlink>
      <w:r>
        <w:t>). Elle prévoit aussi la remise d’un rapport, avant le 1</w:t>
      </w:r>
      <w:r w:rsidRPr="006E419A">
        <w:rPr>
          <w:vertAlign w:val="superscript"/>
        </w:rPr>
        <w:t>er</w:t>
      </w:r>
      <w:r>
        <w:t xml:space="preserve"> septembre 2020, sur les conditions de mise en œuvre de ce dispositif.</w:t>
      </w:r>
    </w:p>
    <w:p w14:paraId="3E219A47" w14:textId="77777777" w:rsidR="00F15DA8" w:rsidRDefault="00F15DA8" w:rsidP="00F15DA8">
      <w:pPr>
        <w:pStyle w:val="Paragraphedeliste"/>
      </w:pPr>
    </w:p>
    <w:p w14:paraId="2A286A9D" w14:textId="77777777" w:rsidR="00F15DA8" w:rsidRDefault="00F15DA8" w:rsidP="00F15DA8">
      <w:pPr>
        <w:pStyle w:val="Paragraphedeliste"/>
        <w:numPr>
          <w:ilvl w:val="0"/>
          <w:numId w:val="1"/>
        </w:numPr>
      </w:pPr>
      <w:r>
        <w:t xml:space="preserve">Le fonds d’investissement Silver Lake a l’intention d’acquérir l’éditeur de logiciels Silaexpert. Silver Lake est déjà co-propriétaire de Cegid (lire </w:t>
      </w:r>
      <w:hyperlink r:id="rId10" w:history="1">
        <w:r w:rsidRPr="00A27372">
          <w:rPr>
            <w:rStyle w:val="Lienhypertexte"/>
          </w:rPr>
          <w:t>notre article</w:t>
        </w:r>
      </w:hyperlink>
      <w:r>
        <w:t xml:space="preserve">). </w:t>
      </w:r>
    </w:p>
    <w:p w14:paraId="6B8ED430" w14:textId="77777777" w:rsidR="00F15DA8" w:rsidRDefault="00F15DA8" w:rsidP="00F15DA8">
      <w:pPr>
        <w:pStyle w:val="Paragraphedeliste"/>
      </w:pPr>
    </w:p>
    <w:p w14:paraId="616F1665" w14:textId="67A8CF95" w:rsidR="00F15DA8" w:rsidRDefault="00F15DA8" w:rsidP="00F15DA8">
      <w:pPr>
        <w:pStyle w:val="Paragraphedeliste"/>
        <w:numPr>
          <w:ilvl w:val="0"/>
          <w:numId w:val="1"/>
        </w:numPr>
      </w:pPr>
      <w:r>
        <w:t>L’autorité des normes comptables (ANC) recommande pour les comptes établis à compter du 1</w:t>
      </w:r>
      <w:r w:rsidRPr="002A475E">
        <w:rPr>
          <w:vertAlign w:val="superscript"/>
        </w:rPr>
        <w:t>er</w:t>
      </w:r>
      <w:r>
        <w:t xml:space="preserve"> janvier 2020 de comptabiliser l’allocation d’activité partielle </w:t>
      </w:r>
      <w:r w:rsidR="008F0943">
        <w:t>à laquelle a droit</w:t>
      </w:r>
      <w:r>
        <w:t xml:space="preserve"> </w:t>
      </w:r>
      <w:r w:rsidR="008F0943">
        <w:t>un</w:t>
      </w:r>
      <w:r>
        <w:t xml:space="preserve"> employeur au crédit d’un compte de charges de personnel. Toutefois, elle considère que lorsque « l’entité a déjà reçu une indemnité de cette nature par le passé, elle peut soit continuer à utiliser le même mode de comptabilisation, soit suivre la recommandation de l’ANC, cette dernière devenant alors le nouveau mode de comptabilisation soumis à la permanence des méthodes » (lire </w:t>
      </w:r>
      <w:hyperlink r:id="rId11" w:history="1">
        <w:r w:rsidRPr="00675DD1">
          <w:rPr>
            <w:rStyle w:val="Lienhypertexte"/>
          </w:rPr>
          <w:t>notre article</w:t>
        </w:r>
      </w:hyperlink>
      <w:r>
        <w:t xml:space="preserve">). </w:t>
      </w:r>
    </w:p>
    <w:p w14:paraId="7DBAFC53" w14:textId="77777777" w:rsidR="00F15DA8" w:rsidRDefault="00F15DA8" w:rsidP="00F15DA8">
      <w:pPr>
        <w:pStyle w:val="Paragraphedeliste"/>
      </w:pPr>
    </w:p>
    <w:p w14:paraId="096F01FA" w14:textId="79DC8CD4" w:rsidR="00F15DA8" w:rsidRDefault="00F15DA8" w:rsidP="00F15DA8">
      <w:pPr>
        <w:pStyle w:val="Paragraphedeliste"/>
        <w:numPr>
          <w:ilvl w:val="0"/>
          <w:numId w:val="1"/>
        </w:numPr>
      </w:pPr>
      <w:r>
        <w:t xml:space="preserve">La loi Pacte de 2019 a modifié le cadre déontologique des commissaires aux comptes notamment en supprimant la liste des services interdits de fournir à une entité qui n’est pas d’intérêt public. La fourniture de services non audit reste toutefois conditionnée au respect de plusieurs principes parmi lesquels celui de l’indépendance (lire </w:t>
      </w:r>
      <w:hyperlink r:id="rId12" w:history="1">
        <w:r w:rsidRPr="006856E0">
          <w:rPr>
            <w:rStyle w:val="Lienhypertexte"/>
          </w:rPr>
          <w:t>notre article</w:t>
        </w:r>
      </w:hyperlink>
      <w:r>
        <w:t>).</w:t>
      </w:r>
    </w:p>
    <w:p w14:paraId="02AB972F" w14:textId="77777777" w:rsidR="00F15DA8" w:rsidRDefault="00F15DA8" w:rsidP="00F15DA8">
      <w:pPr>
        <w:pStyle w:val="Paragraphedeliste"/>
      </w:pPr>
    </w:p>
    <w:p w14:paraId="0BD3A4DE" w14:textId="77777777" w:rsidR="00F15DA8" w:rsidRDefault="00F15DA8" w:rsidP="00F15DA8">
      <w:pPr>
        <w:pStyle w:val="Paragraphedeliste"/>
        <w:numPr>
          <w:ilvl w:val="0"/>
          <w:numId w:val="1"/>
        </w:numPr>
      </w:pPr>
      <w:r>
        <w:t xml:space="preserve">Fin 2017, la valeur nette comptable du fonds commercial s’élevait en France pour le secteur marchand, selon nos calculs issus des données de l’Insee, à 242 milliards d’euros (lire </w:t>
      </w:r>
      <w:hyperlink r:id="rId13" w:history="1">
        <w:r w:rsidRPr="006856E0">
          <w:rPr>
            <w:rStyle w:val="Lienhypertexte"/>
          </w:rPr>
          <w:t>notre article</w:t>
        </w:r>
      </w:hyperlink>
      <w:r>
        <w:t>).</w:t>
      </w:r>
    </w:p>
    <w:p w14:paraId="5168945E" w14:textId="77777777" w:rsidR="00F15DA8" w:rsidRDefault="00F15DA8" w:rsidP="00F15DA8">
      <w:pPr>
        <w:pStyle w:val="Paragraphedeliste"/>
      </w:pPr>
    </w:p>
    <w:p w14:paraId="3410C211" w14:textId="77777777" w:rsidR="00F15DA8" w:rsidRDefault="00F15DA8" w:rsidP="00F15DA8">
      <w:pPr>
        <w:pStyle w:val="Paragraphedeliste"/>
        <w:numPr>
          <w:ilvl w:val="0"/>
          <w:numId w:val="1"/>
        </w:numPr>
      </w:pPr>
      <w:r>
        <w:t xml:space="preserve"> Un décret du 29 juin 2020, applicable du 1er juin au 30 septembre 2020, a modifié le montant de l’allocation d’activité partielle versée par l’Etat à l’employeur, qui est passé, sauf exceptions, de 70 à 60 % de la rémunération antérieure brute du salarié (lire </w:t>
      </w:r>
      <w:hyperlink r:id="rId14" w:history="1">
        <w:r w:rsidRPr="00E35DFE">
          <w:rPr>
            <w:rStyle w:val="Lienhypertexte"/>
          </w:rPr>
          <w:t>notre article</w:t>
        </w:r>
      </w:hyperlink>
      <w:r>
        <w:t xml:space="preserve">). </w:t>
      </w:r>
    </w:p>
    <w:p w14:paraId="7AD46DAE" w14:textId="77777777" w:rsidR="000141B5" w:rsidRDefault="000141B5"/>
    <w:sectPr w:rsidR="000141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735BF"/>
    <w:multiLevelType w:val="hybridMultilevel"/>
    <w:tmpl w:val="5BD699A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documentProtection w:edit="readOnly" w:enforcement="1" w:cryptProviderType="rsaAES" w:cryptAlgorithmClass="hash" w:cryptAlgorithmType="typeAny" w:cryptAlgorithmSid="14" w:cryptSpinCount="100000" w:hash="ta/0wTtuhMOwi7Wid9m0N26HFvH24bxhZJMNmH70bvLuXE2EJL9clnJ938rBaPgg6KahVjzc6sW8afF/xi35ug==" w:salt="QK2RbEfcHArCc8iijhXtfw==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DA8"/>
    <w:rsid w:val="000141B5"/>
    <w:rsid w:val="00016075"/>
    <w:rsid w:val="001D4842"/>
    <w:rsid w:val="00235B9B"/>
    <w:rsid w:val="00354BBB"/>
    <w:rsid w:val="00832920"/>
    <w:rsid w:val="008F0943"/>
    <w:rsid w:val="00A43A16"/>
    <w:rsid w:val="00BF0B9E"/>
    <w:rsid w:val="00F15DA8"/>
    <w:rsid w:val="00FE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F4D39"/>
  <w15:chartTrackingRefBased/>
  <w15:docId w15:val="{085ECF38-9EE4-4734-8300-BA75D5199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D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15DA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15DA8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15D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tuel-expert-comptable.fr/content/nous-sommes-assez-offensifs-sur-le-terrain-de-laudit" TargetMode="External"/><Relationship Id="rId13" Type="http://schemas.openxmlformats.org/officeDocument/2006/relationships/hyperlink" Target="https://www.actuel-expert-comptable.fr/content/la-valeur-nette-comptable-du-fonds-commercial-depasse-encore-200-milliards-deuro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ctuel-expert-comptable.fr/content/situation-des-femmes-dans-les-cabinets-comptables-ou-en-est" TargetMode="External"/><Relationship Id="rId12" Type="http://schemas.openxmlformats.org/officeDocument/2006/relationships/hyperlink" Target="https://www.actuel-expert-comptable.fr/content/fiscalite-paie-juridique-la-relative-liberalisation-du-commissaire-aux-comptes-es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actuel-expert-comptable.fr/content/infographie-les-baremes-2020-des-avantages-en-nature" TargetMode="External"/><Relationship Id="rId11" Type="http://schemas.openxmlformats.org/officeDocument/2006/relationships/hyperlink" Target="https://www.actuel-expert-comptable.fr/content/comment-traiter-comptablement-lallocation-dactivite-partielle" TargetMode="External"/><Relationship Id="rId5" Type="http://schemas.openxmlformats.org/officeDocument/2006/relationships/hyperlink" Target="https://www.actuel-expert-comptable.fr/content/turnover-dans-les-cabinets-comptables-quelles-raisons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actuel-expert-comptable.fr/content/coproprietaire-de-cegid-silver-lake-veut-acheter-silaexper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ctuel-expert-comptable.fr/content/les-principales-nouveautes-fiscales-pour-les-entreprises" TargetMode="External"/><Relationship Id="rId14" Type="http://schemas.openxmlformats.org/officeDocument/2006/relationships/hyperlink" Target="https://www.actuel-expert-comptable.fr/content/activite-partielle-de-nouvelles-regles-dallocation-du-1er-juin-au-30-septembre-202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613</Words>
  <Characters>3373</Characters>
  <Application>Microsoft Office Word</Application>
  <DocSecurity>10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Ludovic Arbelet</dc:creator>
  <cp:keywords/>
  <dc:description/>
  <cp:lastModifiedBy>Ludovic Arbelet</cp:lastModifiedBy>
  <cp:revision>6</cp:revision>
  <dcterms:created xsi:type="dcterms:W3CDTF">2020-07-30T20:33:00Z</dcterms:created>
  <dcterms:modified xsi:type="dcterms:W3CDTF">2020-07-30T20:40:00Z</dcterms:modified>
</cp:coreProperties>
</file>